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61" w:rsidRPr="00E1563A" w:rsidRDefault="00F17BBD" w:rsidP="00E1563A">
      <w:pPr>
        <w:jc w:val="center"/>
        <w:rPr>
          <w:rFonts w:asciiTheme="minorHAnsi" w:hAnsiTheme="minorHAnsi" w:cs="Arial"/>
          <w:b/>
          <w:caps/>
          <w:sz w:val="28"/>
        </w:rPr>
      </w:pPr>
      <w:r w:rsidRPr="00E1563A">
        <w:rPr>
          <w:rFonts w:asciiTheme="minorHAnsi" w:hAnsiTheme="minorHAnsi" w:cs="Arial"/>
          <w:b/>
          <w:caps/>
          <w:sz w:val="28"/>
        </w:rPr>
        <w:t xml:space="preserve">Vplyv hry Energia pre budúcnosť na postoje žiakov </w:t>
      </w:r>
      <w:r w:rsidR="00E1563A">
        <w:rPr>
          <w:rFonts w:asciiTheme="minorHAnsi" w:hAnsiTheme="minorHAnsi" w:cs="Arial"/>
          <w:b/>
          <w:caps/>
          <w:sz w:val="28"/>
        </w:rPr>
        <w:br/>
      </w:r>
      <w:r w:rsidRPr="00E1563A">
        <w:rPr>
          <w:rFonts w:asciiTheme="minorHAnsi" w:hAnsiTheme="minorHAnsi" w:cs="Arial"/>
          <w:b/>
          <w:caps/>
          <w:sz w:val="28"/>
        </w:rPr>
        <w:t>k využívaniu rôznych zdrojov energie</w:t>
      </w:r>
    </w:p>
    <w:p w:rsidR="00F17BBD" w:rsidRPr="00E1563A" w:rsidRDefault="00F17BBD" w:rsidP="00E1563A">
      <w:pPr>
        <w:jc w:val="center"/>
        <w:rPr>
          <w:rFonts w:asciiTheme="minorHAnsi" w:hAnsiTheme="minorHAnsi" w:cs="Arial"/>
        </w:rPr>
      </w:pPr>
    </w:p>
    <w:p w:rsidR="00D25061" w:rsidRPr="00E1563A" w:rsidRDefault="00F17BBD" w:rsidP="00E1563A">
      <w:pPr>
        <w:jc w:val="center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Jana Horváthová</w:t>
      </w:r>
    </w:p>
    <w:p w:rsidR="00260FA1" w:rsidRPr="00E1563A" w:rsidRDefault="00260FA1" w:rsidP="00E1563A">
      <w:pPr>
        <w:tabs>
          <w:tab w:val="left" w:pos="480"/>
        </w:tabs>
        <w:ind w:left="480" w:hanging="480"/>
        <w:jc w:val="center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Fakulta matematiky, fyziky a informatiky Univerzity Komenského v Bratislave</w:t>
      </w:r>
    </w:p>
    <w:p w:rsidR="00D25061" w:rsidRPr="00E1563A" w:rsidRDefault="00D25061" w:rsidP="00E1563A">
      <w:pPr>
        <w:jc w:val="both"/>
        <w:rPr>
          <w:rFonts w:asciiTheme="minorHAnsi" w:hAnsiTheme="minorHAnsi" w:cs="Arial"/>
        </w:rPr>
      </w:pPr>
    </w:p>
    <w:p w:rsidR="00F17BBD" w:rsidRPr="00E1563A" w:rsidRDefault="00D25061" w:rsidP="00E1563A">
      <w:pPr>
        <w:jc w:val="both"/>
        <w:rPr>
          <w:rFonts w:asciiTheme="minorHAnsi" w:hAnsiTheme="minorHAnsi" w:cs="Arial"/>
          <w:i/>
          <w:sz w:val="20"/>
        </w:rPr>
      </w:pPr>
      <w:r w:rsidRPr="00E1563A">
        <w:rPr>
          <w:rFonts w:asciiTheme="minorHAnsi" w:hAnsiTheme="minorHAnsi" w:cs="Arial"/>
          <w:b/>
          <w:i/>
          <w:sz w:val="20"/>
        </w:rPr>
        <w:t>Abstrakt</w:t>
      </w:r>
      <w:r w:rsidRPr="00E1563A">
        <w:rPr>
          <w:rFonts w:asciiTheme="minorHAnsi" w:hAnsiTheme="minorHAnsi" w:cs="Arial"/>
          <w:i/>
          <w:sz w:val="20"/>
        </w:rPr>
        <w:t xml:space="preserve">: </w:t>
      </w:r>
      <w:r w:rsidR="00F17BBD" w:rsidRPr="00E1563A">
        <w:rPr>
          <w:rFonts w:asciiTheme="minorHAnsi" w:hAnsiTheme="minorHAnsi" w:cs="Arial"/>
          <w:i/>
          <w:sz w:val="20"/>
        </w:rPr>
        <w:t xml:space="preserve">V príspevku sú zhrnuté postoje žiakov k otázkam využívania rôznych zdrojov energie a zmeny týchto postojov zisťované počas realizácie hry Energia pre budúcnosť počas výstavy Fusion Expo 2011 v Avion Shopping Park Bratislava. </w:t>
      </w:r>
    </w:p>
    <w:p w:rsidR="00D25061" w:rsidRPr="00E1563A" w:rsidRDefault="00F17BBD" w:rsidP="00E1563A">
      <w:pPr>
        <w:jc w:val="both"/>
        <w:rPr>
          <w:rFonts w:asciiTheme="minorHAnsi" w:hAnsiTheme="minorHAnsi" w:cs="Arial"/>
          <w:i/>
          <w:sz w:val="20"/>
        </w:rPr>
      </w:pPr>
      <w:r w:rsidRPr="00E1563A">
        <w:rPr>
          <w:rFonts w:asciiTheme="minorHAnsi" w:hAnsiTheme="minorHAnsi" w:cs="Arial"/>
          <w:i/>
          <w:sz w:val="20"/>
        </w:rPr>
        <w:t xml:space="preserve">Diskusná hra „Energia pre budúcnosť“ bola vytvorená </w:t>
      </w:r>
      <w:r w:rsidR="00E83376" w:rsidRPr="00E1563A">
        <w:rPr>
          <w:rFonts w:asciiTheme="minorHAnsi" w:hAnsiTheme="minorHAnsi" w:cs="Arial"/>
          <w:i/>
          <w:sz w:val="20"/>
        </w:rPr>
        <w:t>formátom PlayDecide a vznikla s </w:t>
      </w:r>
      <w:r w:rsidRPr="00E1563A">
        <w:rPr>
          <w:rFonts w:asciiTheme="minorHAnsi" w:hAnsiTheme="minorHAnsi" w:cs="Arial"/>
          <w:i/>
          <w:sz w:val="20"/>
        </w:rPr>
        <w:t>cieľom podporiť diskusiu o využívaní rôznych zdrojoch energie. Hra je určená žiakom vyššieho sekundárneho vzdelávania. V rámci hry si žiaci vyberajú z ponúkaných informácií a problémov, diskutujú o nich a zaujímajú postoje, učia sa</w:t>
      </w:r>
      <w:r w:rsidR="00E83376" w:rsidRPr="00E1563A">
        <w:rPr>
          <w:rFonts w:asciiTheme="minorHAnsi" w:hAnsiTheme="minorHAnsi" w:cs="Arial"/>
          <w:i/>
          <w:sz w:val="20"/>
        </w:rPr>
        <w:t xml:space="preserve"> zmysluplne stavať k lokálnym i </w:t>
      </w:r>
      <w:r w:rsidRPr="00E1563A">
        <w:rPr>
          <w:rFonts w:asciiTheme="minorHAnsi" w:hAnsiTheme="minorHAnsi" w:cs="Arial"/>
          <w:i/>
          <w:sz w:val="20"/>
        </w:rPr>
        <w:t>globálnym záležitostiam týkajúcich sa témy hry. V príspevku sú porovnané postoje žiakov k 4 ponúknutým stanoviskám o perspektívach využívan</w:t>
      </w:r>
      <w:r w:rsidR="00E83376" w:rsidRPr="00E1563A">
        <w:rPr>
          <w:rFonts w:asciiTheme="minorHAnsi" w:hAnsiTheme="minorHAnsi" w:cs="Arial"/>
          <w:i/>
          <w:sz w:val="20"/>
        </w:rPr>
        <w:t>ia rôznych zdrojov energie pred </w:t>
      </w:r>
      <w:r w:rsidRPr="00E1563A">
        <w:rPr>
          <w:rFonts w:asciiTheme="minorHAnsi" w:hAnsiTheme="minorHAnsi" w:cs="Arial"/>
          <w:i/>
          <w:sz w:val="20"/>
        </w:rPr>
        <w:t>hrou a po jej skončení.</w:t>
      </w:r>
    </w:p>
    <w:p w:rsidR="00F17BBD" w:rsidRPr="00E1563A" w:rsidRDefault="00F17BBD" w:rsidP="00E1563A">
      <w:pPr>
        <w:jc w:val="both"/>
        <w:rPr>
          <w:rFonts w:asciiTheme="minorHAnsi" w:hAnsiTheme="minorHAnsi" w:cs="Arial"/>
          <w:i/>
          <w:sz w:val="20"/>
        </w:rPr>
      </w:pPr>
    </w:p>
    <w:p w:rsidR="00D25061" w:rsidRPr="00E1563A" w:rsidRDefault="00D25061" w:rsidP="00E1563A">
      <w:pPr>
        <w:jc w:val="both"/>
        <w:rPr>
          <w:rFonts w:asciiTheme="minorHAnsi" w:hAnsiTheme="minorHAnsi" w:cs="Arial"/>
          <w:i/>
          <w:sz w:val="20"/>
        </w:rPr>
      </w:pPr>
      <w:r w:rsidRPr="00E1563A">
        <w:rPr>
          <w:rFonts w:asciiTheme="minorHAnsi" w:hAnsiTheme="minorHAnsi" w:cs="Arial"/>
          <w:b/>
          <w:i/>
          <w:sz w:val="20"/>
        </w:rPr>
        <w:t>Kľúčové slová</w:t>
      </w:r>
      <w:r w:rsidRPr="00E1563A">
        <w:rPr>
          <w:rFonts w:asciiTheme="minorHAnsi" w:hAnsiTheme="minorHAnsi" w:cs="Arial"/>
          <w:i/>
          <w:sz w:val="20"/>
        </w:rPr>
        <w:t xml:space="preserve">: </w:t>
      </w:r>
      <w:r w:rsidR="00F17BBD" w:rsidRPr="00E1563A">
        <w:rPr>
          <w:rFonts w:asciiTheme="minorHAnsi" w:hAnsiTheme="minorHAnsi" w:cs="Arial"/>
          <w:i/>
          <w:sz w:val="20"/>
        </w:rPr>
        <w:t>diskusná hra PlayDecide, zdroje energie, postoje</w:t>
      </w:r>
    </w:p>
    <w:p w:rsidR="00D25061" w:rsidRPr="00E1563A" w:rsidRDefault="00D25061" w:rsidP="00E1563A">
      <w:pPr>
        <w:jc w:val="both"/>
        <w:rPr>
          <w:rFonts w:asciiTheme="minorHAnsi" w:hAnsiTheme="minorHAnsi" w:cs="Arial"/>
        </w:rPr>
      </w:pPr>
    </w:p>
    <w:p w:rsidR="00D25061" w:rsidRPr="00E1563A" w:rsidRDefault="00D25061" w:rsidP="00E1563A">
      <w:pPr>
        <w:spacing w:before="6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Úvod</w:t>
      </w:r>
    </w:p>
    <w:p w:rsidR="008C1FA5" w:rsidRPr="00E1563A" w:rsidRDefault="008C1FA5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Počas výstavy Fusion Expo, Fúzia – energia budúcnosti, ktorá sa konala od 5.1.2011 – 18.2.2011 v Avion, Shopping Park, mali žiaci možnosť absolvovať diskusnú hru Energia pre budúcnosť, ako jeden so sprievodných programov. </w:t>
      </w:r>
    </w:p>
    <w:p w:rsidR="008C1FA5" w:rsidRPr="00E1563A" w:rsidRDefault="008C1FA5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Diskusná hra nastoľuje otázky využívania rôznych zdrojov energie, rizík, ktoré</w:t>
      </w:r>
      <w:r w:rsidR="005E364A" w:rsidRPr="00E1563A">
        <w:rPr>
          <w:rFonts w:asciiTheme="minorHAnsi" w:hAnsiTheme="minorHAnsi" w:cs="Arial"/>
        </w:rPr>
        <w:t xml:space="preserve"> prinášajú rôzne spôsoby získavania energie</w:t>
      </w:r>
      <w:r w:rsidRPr="00E1563A">
        <w:rPr>
          <w:rFonts w:asciiTheme="minorHAnsi" w:hAnsiTheme="minorHAnsi" w:cs="Arial"/>
        </w:rPr>
        <w:t xml:space="preserve">. V hre sú obsiahnuté informácie týkajúce sa zdrojov energie, jej využitia ako i dopadu na životné prostredie. </w:t>
      </w:r>
    </w:p>
    <w:p w:rsidR="00D25061" w:rsidRPr="00E1563A" w:rsidRDefault="008C1FA5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D</w:t>
      </w:r>
      <w:r w:rsidR="005E364A" w:rsidRPr="00E1563A">
        <w:rPr>
          <w:rFonts w:asciiTheme="minorHAnsi" w:hAnsiTheme="minorHAnsi" w:cs="Arial"/>
        </w:rPr>
        <w:t>iskusn</w:t>
      </w:r>
      <w:r w:rsidRPr="00E1563A">
        <w:rPr>
          <w:rFonts w:asciiTheme="minorHAnsi" w:hAnsiTheme="minorHAnsi" w:cs="Arial"/>
        </w:rPr>
        <w:t>á</w:t>
      </w:r>
      <w:r w:rsidR="005E364A" w:rsidRPr="00E1563A">
        <w:rPr>
          <w:rFonts w:asciiTheme="minorHAnsi" w:hAnsiTheme="minorHAnsi" w:cs="Arial"/>
        </w:rPr>
        <w:t xml:space="preserve"> hr</w:t>
      </w:r>
      <w:r w:rsidRPr="00E1563A">
        <w:rPr>
          <w:rFonts w:asciiTheme="minorHAnsi" w:hAnsiTheme="minorHAnsi" w:cs="Arial"/>
        </w:rPr>
        <w:t>a</w:t>
      </w:r>
      <w:r w:rsidR="005E364A" w:rsidRPr="00E1563A">
        <w:rPr>
          <w:rFonts w:asciiTheme="minorHAnsi" w:hAnsiTheme="minorHAnsi" w:cs="Arial"/>
        </w:rPr>
        <w:t xml:space="preserve"> Energia pre budúcnosť</w:t>
      </w:r>
      <w:r w:rsidRPr="00E1563A">
        <w:rPr>
          <w:rFonts w:asciiTheme="minorHAnsi" w:hAnsiTheme="minorHAnsi" w:cs="Arial"/>
        </w:rPr>
        <w:t xml:space="preserve"> bola vytvorená</w:t>
      </w:r>
      <w:r w:rsidR="005E364A" w:rsidRPr="00E1563A">
        <w:rPr>
          <w:rFonts w:asciiTheme="minorHAnsi" w:hAnsiTheme="minorHAnsi" w:cs="Arial"/>
        </w:rPr>
        <w:t xml:space="preserve"> formátom PlayDecide, ktorý vznikol adaptovaním hier Democs v rokoch 2004 – 2008 (FUND MANUAL, 2009).</w:t>
      </w:r>
    </w:p>
    <w:p w:rsidR="005E364A" w:rsidRPr="00E1563A" w:rsidRDefault="005E364A" w:rsidP="00E1563A">
      <w:pPr>
        <w:spacing w:before="60"/>
        <w:jc w:val="both"/>
        <w:rPr>
          <w:rFonts w:asciiTheme="minorHAnsi" w:hAnsiTheme="minorHAnsi" w:cs="Arial"/>
        </w:rPr>
      </w:pPr>
    </w:p>
    <w:p w:rsidR="00D25061" w:rsidRPr="00E1563A" w:rsidRDefault="002717BE" w:rsidP="00E1563A">
      <w:pPr>
        <w:spacing w:before="6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Hra Energia pre budúcnosť</w:t>
      </w:r>
    </w:p>
    <w:p w:rsidR="005E364A" w:rsidRPr="00E1563A" w:rsidRDefault="005E364A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Hra prebieha v 4 – 6 členných skupinách. Celá hra trvá 80 – 90 minút, čo sú dve vyučovacie hodiny. Každý žiak má k dispozícii hrací plán</w:t>
      </w:r>
      <w:r w:rsidR="00E83376" w:rsidRPr="00E1563A">
        <w:rPr>
          <w:rFonts w:asciiTheme="minorHAnsi" w:hAnsiTheme="minorHAnsi" w:cs="Arial"/>
        </w:rPr>
        <w:t>, ktorý obsahuje krátky úvod do </w:t>
      </w:r>
      <w:r w:rsidRPr="00E1563A">
        <w:rPr>
          <w:rFonts w:asciiTheme="minorHAnsi" w:hAnsiTheme="minorHAnsi" w:cs="Arial"/>
        </w:rPr>
        <w:t>problematiky, usmernenia hry, priebeh hry a priestor pre uloženie kariet, ktoré si žiaci postupne vyberajú. Priebeh hry možno rozdeliť na 3 časti:</w:t>
      </w:r>
    </w:p>
    <w:p w:rsidR="005E364A" w:rsidRPr="00E1563A" w:rsidRDefault="005E364A" w:rsidP="00E1563A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Získavanie informácií</w:t>
      </w:r>
    </w:p>
    <w:p w:rsidR="005E364A" w:rsidRPr="00E1563A" w:rsidRDefault="005E364A" w:rsidP="00E1563A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Diskusia</w:t>
      </w:r>
    </w:p>
    <w:p w:rsidR="005E364A" w:rsidRPr="00E1563A" w:rsidRDefault="005E364A" w:rsidP="00E1563A">
      <w:pPr>
        <w:numPr>
          <w:ilvl w:val="0"/>
          <w:numId w:val="4"/>
        </w:num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Zdieľanie skupinového výsledku</w:t>
      </w:r>
    </w:p>
    <w:p w:rsidR="005E364A" w:rsidRPr="00E1563A" w:rsidRDefault="005E364A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Celkom na záver hra ponúka 4 stanoviská k téme hry, ku ktorým má každý diskutujúci vyjadriť svoj postoj. Ak žiaci/hráči chcú, môžu si k ponúknutým stanoviskám doplniť svoje vlastné. </w:t>
      </w:r>
    </w:p>
    <w:p w:rsidR="005E364A" w:rsidRPr="00E1563A" w:rsidRDefault="005E364A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V hre Energia pre budúcnosť sú žiakom navrhnuté / ponúknuté 4 záverečné stanoviská, pričom žiaci si môžu vytvoriť ďalšie:</w:t>
      </w:r>
    </w:p>
    <w:p w:rsidR="005E364A" w:rsidRPr="00E1563A" w:rsidRDefault="005E364A" w:rsidP="00E1563A">
      <w:pPr>
        <w:numPr>
          <w:ilvl w:val="0"/>
          <w:numId w:val="8"/>
        </w:numPr>
        <w:spacing w:before="60"/>
        <w:ind w:left="630" w:hanging="27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Som za vhodnú kombináciu jadrovej energie, vodnej energie a alternatívnych zdrojov. Myslím, že sa to dá globálne akceptovať.</w:t>
      </w:r>
    </w:p>
    <w:p w:rsidR="005E364A" w:rsidRPr="00E1563A" w:rsidRDefault="005E364A" w:rsidP="00E1563A">
      <w:pPr>
        <w:numPr>
          <w:ilvl w:val="0"/>
          <w:numId w:val="8"/>
        </w:numPr>
        <w:spacing w:before="60"/>
        <w:ind w:left="630" w:hanging="27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Som zásadne proti jadrovej energii. Je škodlivá a nebezpečná. Financie by sa mali prioritne investovať do rozvoja alternatívnych zdrojov.</w:t>
      </w:r>
    </w:p>
    <w:p w:rsidR="005E364A" w:rsidRPr="00E1563A" w:rsidRDefault="005E364A" w:rsidP="00E1563A">
      <w:pPr>
        <w:numPr>
          <w:ilvl w:val="0"/>
          <w:numId w:val="8"/>
        </w:numPr>
        <w:spacing w:before="60"/>
        <w:ind w:left="630" w:hanging="27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Vyčerpanie energetických zdrojov je mi ukradnuté, netýka sa ma. Na čo sa tým zapodievať, aj tak ide iba o biznis. </w:t>
      </w:r>
    </w:p>
    <w:p w:rsidR="005E364A" w:rsidRPr="00E1563A" w:rsidRDefault="005E364A" w:rsidP="00E1563A">
      <w:pPr>
        <w:numPr>
          <w:ilvl w:val="0"/>
          <w:numId w:val="8"/>
        </w:numPr>
        <w:spacing w:before="60"/>
        <w:ind w:left="630" w:hanging="27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lastRenderedPageBreak/>
        <w:t>Rozhodne by sme mali investovať do výsk</w:t>
      </w:r>
      <w:r w:rsidR="00E83376" w:rsidRPr="00E1563A">
        <w:rPr>
          <w:rFonts w:asciiTheme="minorHAnsi" w:hAnsiTheme="minorHAnsi" w:cs="Arial"/>
        </w:rPr>
        <w:t>umu a vývoja jadrovej energie a </w:t>
      </w:r>
      <w:r w:rsidRPr="00E1563A">
        <w:rPr>
          <w:rFonts w:asciiTheme="minorHAnsi" w:hAnsiTheme="minorHAnsi" w:cs="Arial"/>
        </w:rPr>
        <w:t>termojadrovej fúzie. Obnoviteľné zdroje majú s</w:t>
      </w:r>
      <w:r w:rsidR="00E83376" w:rsidRPr="00E1563A">
        <w:rPr>
          <w:rFonts w:asciiTheme="minorHAnsi" w:hAnsiTheme="minorHAnsi" w:cs="Arial"/>
        </w:rPr>
        <w:t>íce svoj určitý potenciál, no z </w:t>
      </w:r>
      <w:r w:rsidRPr="00E1563A">
        <w:rPr>
          <w:rFonts w:asciiTheme="minorHAnsi" w:hAnsiTheme="minorHAnsi" w:cs="Arial"/>
        </w:rPr>
        <w:t>hľadiska nosného prvku elektroenergetickej sústavy sú neprijateľné.</w:t>
      </w:r>
    </w:p>
    <w:p w:rsidR="00E1563A" w:rsidRDefault="00E1563A" w:rsidP="00E1563A">
      <w:pPr>
        <w:spacing w:before="60"/>
        <w:jc w:val="both"/>
        <w:rPr>
          <w:rFonts w:asciiTheme="minorHAnsi" w:hAnsiTheme="minorHAnsi" w:cs="Arial"/>
          <w:b/>
        </w:rPr>
      </w:pPr>
    </w:p>
    <w:p w:rsidR="002717BE" w:rsidRPr="00E1563A" w:rsidRDefault="002717BE" w:rsidP="00E1563A">
      <w:pPr>
        <w:spacing w:before="6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Postoje žiakov k 4 stanoviskám</w:t>
      </w:r>
    </w:p>
    <w:p w:rsidR="002717BE" w:rsidRPr="00E1563A" w:rsidRDefault="002717BE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Žiaci sa ku každému stanovisku vyjadrovali na 6 stupňovej škále. Hlasovania sa mohli žiaci zdržať. V grafe 1 sú uvedené výsledky v %, pričom hlasovalo 365 žiakov. </w:t>
      </w:r>
    </w:p>
    <w:p w:rsidR="002717BE" w:rsidRPr="00E1563A" w:rsidRDefault="002717BE" w:rsidP="00E1563A">
      <w:pPr>
        <w:spacing w:before="60"/>
        <w:jc w:val="both"/>
        <w:rPr>
          <w:rFonts w:asciiTheme="minorHAnsi" w:hAnsiTheme="minorHAnsi" w:cs="Arial"/>
        </w:rPr>
      </w:pPr>
    </w:p>
    <w:p w:rsidR="002717BE" w:rsidRPr="00E1563A" w:rsidRDefault="002717BE" w:rsidP="00E1563A">
      <w:pPr>
        <w:spacing w:before="60"/>
        <w:jc w:val="center"/>
        <w:rPr>
          <w:rFonts w:asciiTheme="minorHAnsi" w:hAnsiTheme="minorHAnsi" w:cs="Arial"/>
          <w:sz w:val="20"/>
        </w:rPr>
      </w:pPr>
      <w:r w:rsidRPr="00E1563A">
        <w:rPr>
          <w:rFonts w:asciiTheme="minorHAnsi" w:hAnsiTheme="minorHAnsi" w:cs="Arial"/>
          <w:sz w:val="20"/>
        </w:rPr>
        <w:t>Graf 1: Výsledky hlasovania 365 žiakov k stanoviskám hry Energia pre budúcnosť</w:t>
      </w:r>
    </w:p>
    <w:p w:rsidR="002717BE" w:rsidRPr="00E1563A" w:rsidRDefault="00E83376" w:rsidP="00E1563A">
      <w:pPr>
        <w:spacing w:before="60"/>
        <w:jc w:val="center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78pt;margin-top:12pt;width:138pt;height:18pt;z-index:251663360" strokecolor="white">
            <v:textbox>
              <w:txbxContent>
                <w:p w:rsidR="00E83376" w:rsidRDefault="00E83376">
                  <w:r>
                    <w:t>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 xml:space="preserve"> 4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i/>
          <w:noProof/>
          <w:lang w:val="en-US" w:eastAsia="en-US"/>
        </w:rPr>
        <w:pict>
          <v:shape id="_x0000_s1041" type="#_x0000_t202" style="position:absolute;left:0;text-align:left;margin-left:231.4pt;margin-top:5.6pt;width:178.75pt;height:21pt;z-index:251661312;mso-height-percent:200;mso-height-percent:200;mso-width-relative:margin;mso-height-relative:margin" stroked="f">
            <v:textbox style="mso-next-textbox:#_x0000_s1041;mso-fit-shape-to-text:t">
              <w:txbxContent>
                <w:p w:rsidR="002717BE" w:rsidRPr="00693B74" w:rsidRDefault="002717BE" w:rsidP="002717BE">
                  <w:pPr>
                    <w:jc w:val="center"/>
                    <w:rPr>
                      <w:b/>
                    </w:rPr>
                  </w:pPr>
                  <w:r w:rsidRPr="00693B74">
                    <w:rPr>
                      <w:b/>
                    </w:rPr>
                    <w:t>Podpora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i/>
          <w:noProof/>
          <w:lang w:val="en-US" w:eastAsia="en-US"/>
        </w:rPr>
        <w:pict>
          <v:shape id="_x0000_s1040" type="#_x0000_t202" style="position:absolute;left:0;text-align:left;margin-left:232.2pt;margin-top:160.8pt;width:60pt;height:21pt;z-index:251660288;mso-height-percent:200;mso-height-percent:200;mso-width-relative:margin;mso-height-relative:margin" stroked="f">
            <v:textbox style="mso-next-textbox:#_x0000_s1040;mso-fit-shape-to-text:t">
              <w:txbxContent>
                <w:p w:rsidR="002717BE" w:rsidRPr="00693B74" w:rsidRDefault="002717BE" w:rsidP="002717BE"/>
              </w:txbxContent>
            </v:textbox>
          </v:shape>
        </w:pict>
      </w:r>
      <w:r w:rsidR="002717BE" w:rsidRPr="00E1563A">
        <w:rPr>
          <w:rFonts w:asciiTheme="minorHAnsi" w:hAnsiTheme="minorHAnsi" w:cs="Arial"/>
          <w:i/>
          <w:noProof/>
          <w:lang w:val="en-US" w:eastAsia="en-US"/>
        </w:rPr>
        <w:pict>
          <v:shape id="_x0000_s1039" type="#_x0000_t202" style="position:absolute;left:0;text-align:left;margin-left:235.45pt;margin-top:106.85pt;width:60pt;height:21pt;z-index:251659264;mso-height-percent:200;mso-height-percent:200;mso-width-relative:margin;mso-height-relative:margin" stroked="f">
            <v:textbox style="mso-next-textbox:#_x0000_s1039;mso-fit-shape-to-text:t">
              <w:txbxContent>
                <w:p w:rsidR="002717BE" w:rsidRPr="00693B74" w:rsidRDefault="002717BE" w:rsidP="002717BE"/>
              </w:txbxContent>
            </v:textbox>
          </v:shape>
        </w:pict>
      </w:r>
      <w:r w:rsidR="002717BE" w:rsidRPr="00E1563A">
        <w:rPr>
          <w:rFonts w:asciiTheme="minorHAnsi" w:hAnsiTheme="minorHAnsi" w:cs="Arial"/>
          <w:i/>
          <w:noProof/>
          <w:lang w:val="en-US" w:eastAsia="en-US"/>
        </w:rPr>
        <w:pict>
          <v:shape id="_x0000_s1038" type="#_x0000_t202" style="position:absolute;left:0;text-align:left;margin-left:237.25pt;margin-top:208.55pt;width:192.75pt;height:21pt;z-index:251658240;mso-width-percent:400;mso-height-percent:200;mso-width-percent:400;mso-height-percent:200;mso-width-relative:margin;mso-height-relative:margin" stroked="f">
            <v:textbox style="mso-next-textbox:#_x0000_s1038;mso-fit-shape-to-text:t">
              <w:txbxContent>
                <w:p w:rsidR="002717BE" w:rsidRPr="00693B74" w:rsidRDefault="002717BE" w:rsidP="002717BE"/>
              </w:txbxContent>
            </v:textbox>
          </v:shape>
        </w:pict>
      </w:r>
      <w:r w:rsidR="002717BE" w:rsidRPr="00E1563A">
        <w:rPr>
          <w:rFonts w:asciiTheme="minorHAnsi" w:hAnsiTheme="minorHAnsi" w:cs="Arial"/>
          <w:noProof/>
          <w:lang w:val="en-US" w:eastAsia="en-US"/>
        </w:rPr>
        <w:pict>
          <v:shape id="_x0000_s1037" type="#_x0000_t202" style="position:absolute;left:0;text-align:left;margin-left:313.2pt;margin-top:142.05pt;width:101.6pt;height:17.4pt;z-index:251657216;mso-width-relative:margin;mso-height-relative:margin" stroked="f">
            <v:textbox style="mso-next-textbox:#_x0000_s1037">
              <w:txbxContent>
                <w:p w:rsidR="002717BE" w:rsidRPr="00693B74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Úplne nesúhlasím ---++++++++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noProof/>
          <w:lang w:val="en-US" w:eastAsia="en-US"/>
        </w:rPr>
        <w:pict>
          <v:shape id="_x0000_s1036" type="#_x0000_t202" style="position:absolute;left:0;text-align:left;margin-left:313.2pt;margin-top:127.55pt;width:83pt;height:17.4pt;z-index:251656192;mso-width-relative:margin;mso-height-relative:margin" stroked="f">
            <v:textbox style="mso-next-textbox:#_x0000_s1036">
              <w:txbxContent>
                <w:p w:rsidR="002717BE" w:rsidRPr="00693B74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Nesúhlasím --++++++++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noProof/>
          <w:lang w:val="en-US" w:eastAsia="en-US"/>
        </w:rPr>
        <w:pict>
          <v:shape id="_x0000_s1035" type="#_x0000_t202" style="position:absolute;left:0;text-align:left;margin-left:312.6pt;margin-top:114.35pt;width:83.6pt;height:17.4pt;z-index:251655168;mso-width-relative:margin;mso-height-relative:margin" stroked="f">
            <v:textbox style="mso-next-textbox:#_x0000_s1035">
              <w:txbxContent>
                <w:p w:rsidR="002717BE" w:rsidRPr="00693B74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Skôr nesúhlasím - ++++++++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noProof/>
          <w:lang w:val="en-US" w:eastAsia="en-US"/>
        </w:rPr>
        <w:pict>
          <v:shape id="_x0000_s1033" type="#_x0000_t202" style="position:absolute;left:0;text-align:left;margin-left:312.9pt;margin-top:87.5pt;width:80pt;height:17.4pt;z-index:251653120;mso-width-relative:margin;mso-height-relative:margin" stroked="f">
            <v:textbox style="mso-next-textbox:#_x0000_s1033">
              <w:txbxContent>
                <w:p w:rsidR="002717BE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Súhlasím  ++</w:t>
                  </w:r>
                </w:p>
                <w:p w:rsidR="002717BE" w:rsidRPr="00693B74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+++++++++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noProof/>
          <w:lang w:val="en-US" w:eastAsia="en-US"/>
        </w:rPr>
        <w:pict>
          <v:shape id="_x0000_s1034" type="#_x0000_t202" style="position:absolute;left:0;text-align:left;margin-left:312.5pt;margin-top:101.2pt;width:80pt;height:17.4pt;z-index:251654144;mso-width-relative:margin;mso-height-relative:margin" stroked="f">
            <v:textbox style="mso-next-textbox:#_x0000_s1034">
              <w:txbxContent>
                <w:p w:rsidR="002717BE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Skôr súhlasím  +</w:t>
                  </w:r>
                </w:p>
                <w:p w:rsidR="002717BE" w:rsidRPr="00693B74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+++++++++</w:t>
                  </w:r>
                </w:p>
              </w:txbxContent>
            </v:textbox>
          </v:shape>
        </w:pict>
      </w:r>
      <w:r w:rsidR="002717BE" w:rsidRPr="00E1563A">
        <w:rPr>
          <w:rFonts w:asciiTheme="minorHAnsi" w:hAnsiTheme="minorHAnsi" w:cs="Arial"/>
          <w:noProof/>
          <w:lang w:val="en-US" w:eastAsia="en-US"/>
        </w:rPr>
        <w:pict>
          <v:shape id="_x0000_s1032" type="#_x0000_t202" style="position:absolute;left:0;text-align:left;margin-left:312.9pt;margin-top:74pt;width:90.6pt;height:17.4pt;z-index:251652096;mso-width-relative:margin;mso-height-relative:margin" stroked="f">
            <v:textbox style="mso-next-textbox:#_x0000_s1032">
              <w:txbxContent>
                <w:p w:rsidR="002717BE" w:rsidRPr="00693B74" w:rsidRDefault="002717BE" w:rsidP="002717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Úplne súhlasím +++ +++++++++++++++</w:t>
                  </w:r>
                </w:p>
              </w:txbxContent>
            </v:textbox>
          </v:shape>
        </w:pict>
      </w:r>
      <w:r w:rsidR="000E31BB" w:rsidRPr="00E1563A">
        <w:rPr>
          <w:rFonts w:asciiTheme="minorHAnsi" w:hAnsiTheme="minorHAnsi" w:cs="Arial"/>
          <w:noProof/>
        </w:rPr>
        <w:drawing>
          <wp:inline distT="0" distB="0" distL="0" distR="0">
            <wp:extent cx="6024168" cy="3020786"/>
            <wp:effectExtent l="19050" t="0" r="0" b="0"/>
            <wp:docPr id="1" name="Obrázok 1" descr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38" cy="30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BE" w:rsidRPr="00E1563A" w:rsidRDefault="002717BE" w:rsidP="00E1563A">
      <w:pPr>
        <w:spacing w:before="60"/>
        <w:jc w:val="both"/>
        <w:rPr>
          <w:rFonts w:asciiTheme="minorHAnsi" w:hAnsiTheme="minorHAnsi" w:cs="Arial"/>
          <w:i/>
        </w:rPr>
      </w:pPr>
    </w:p>
    <w:p w:rsidR="002717BE" w:rsidRPr="00E1563A" w:rsidRDefault="005D69AB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Z grafu možno vidieť, že žiaci sú na základe získaných informácií v prvej fáze a prediskutovaní rôznych tém vo fáze druhej za vhodnú kombináciu jadrovej energie a obnoviteľných zdrojov. Vo výraznej miere sú za investovanie do výskumu a vývoja jadrovej energie a termojadrovej fúzie. </w:t>
      </w:r>
    </w:p>
    <w:p w:rsidR="005D69AB" w:rsidRPr="00E1563A" w:rsidRDefault="005D69AB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Pozitívne vnímame postoj žiakov a silný nesúhlas so stanoviskom 3 a teda, že žiakom nie je ľahostajné vyčerpanie energetických zdrojov.</w:t>
      </w:r>
    </w:p>
    <w:p w:rsidR="002E6EC2" w:rsidRPr="00E1563A" w:rsidRDefault="002E6EC2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Okrem záverečných postojov žiakov nás zaujímala prípadná zmena postojov žiakov. Preto sme pred začiatkom samotnej hry rozdali žiakom jednoduchý hlasovací lístok, v ktorom mali zaškrtnúť len jedno z uvedených 4 stanovísk -  stanovisko, s ktorým sú najviac stotožnení (novinár robí prieskum a chce vedieť…). Mali možnosť zaškrtnúť aj „neviem“. Po skončení diskusnej hry mali žiaci opäť  zaškrtnúť jedno stanovisko, pre ktoré by sa rozhodli (Tab. 1). Celkovo sa do prieskumu zapojilo 22</w:t>
      </w:r>
      <w:r w:rsidR="00924B2B" w:rsidRPr="00E1563A">
        <w:rPr>
          <w:rFonts w:asciiTheme="minorHAnsi" w:hAnsiTheme="minorHAnsi" w:cs="Arial"/>
        </w:rPr>
        <w:t>0 respondentov – 107 chlapcov a </w:t>
      </w:r>
      <w:r w:rsidRPr="00E1563A">
        <w:rPr>
          <w:rFonts w:asciiTheme="minorHAnsi" w:hAnsiTheme="minorHAnsi" w:cs="Arial"/>
        </w:rPr>
        <w:t xml:space="preserve">113 dievčat. K zmene názorov došlo u 32 chlapcov (29,90 %) a u 36 dievčat (31,86%), čo znamená, že svoj názor zmenilo 30,91% respondentov. Z toho </w:t>
      </w:r>
      <w:r w:rsidR="004052E5" w:rsidRPr="00E1563A">
        <w:rPr>
          <w:rFonts w:asciiTheme="minorHAnsi" w:hAnsiTheme="minorHAnsi" w:cs="Arial"/>
        </w:rPr>
        <w:t>12</w:t>
      </w:r>
      <w:r w:rsidRPr="00E1563A">
        <w:rPr>
          <w:rFonts w:asciiTheme="minorHAnsi" w:hAnsiTheme="minorHAnsi" w:cs="Arial"/>
        </w:rPr>
        <w:t xml:space="preserve"> respondentov sa pred hrou nevedelo rozhodnúť pre žiadne zo štyroch uvedených stanovísk</w:t>
      </w:r>
      <w:r w:rsidR="004052E5" w:rsidRPr="00E1563A">
        <w:rPr>
          <w:rFonts w:asciiTheme="minorHAnsi" w:hAnsiTheme="minorHAnsi" w:cs="Arial"/>
        </w:rPr>
        <w:t>, po hre sa počet respondentov zvýšil na 13.</w:t>
      </w:r>
    </w:p>
    <w:p w:rsidR="002E6EC2" w:rsidRDefault="002E6EC2" w:rsidP="00E1563A">
      <w:pPr>
        <w:spacing w:before="60"/>
        <w:jc w:val="both"/>
        <w:rPr>
          <w:rFonts w:asciiTheme="minorHAnsi" w:hAnsiTheme="minorHAnsi" w:cs="Arial"/>
        </w:rPr>
      </w:pPr>
    </w:p>
    <w:p w:rsidR="00E1563A" w:rsidRDefault="00E1563A" w:rsidP="00E1563A">
      <w:pPr>
        <w:spacing w:before="60"/>
        <w:jc w:val="both"/>
        <w:rPr>
          <w:rFonts w:asciiTheme="minorHAnsi" w:hAnsiTheme="minorHAnsi" w:cs="Arial"/>
        </w:rPr>
      </w:pPr>
    </w:p>
    <w:p w:rsidR="00E1563A" w:rsidRDefault="00E1563A" w:rsidP="00E1563A">
      <w:pPr>
        <w:spacing w:before="60"/>
        <w:jc w:val="both"/>
        <w:rPr>
          <w:rFonts w:asciiTheme="minorHAnsi" w:hAnsiTheme="minorHAnsi" w:cs="Arial"/>
        </w:rPr>
      </w:pPr>
    </w:p>
    <w:p w:rsidR="00E1563A" w:rsidRDefault="00E1563A" w:rsidP="00E1563A">
      <w:pPr>
        <w:spacing w:before="60"/>
        <w:jc w:val="both"/>
        <w:rPr>
          <w:rFonts w:asciiTheme="minorHAnsi" w:hAnsiTheme="minorHAnsi" w:cs="Arial"/>
        </w:rPr>
      </w:pPr>
    </w:p>
    <w:p w:rsidR="00E1563A" w:rsidRPr="00E1563A" w:rsidRDefault="00E1563A" w:rsidP="00E1563A">
      <w:pPr>
        <w:spacing w:before="60"/>
        <w:jc w:val="both"/>
        <w:rPr>
          <w:rFonts w:asciiTheme="minorHAnsi" w:hAnsiTheme="minorHAnsi" w:cs="Arial"/>
        </w:rPr>
      </w:pPr>
    </w:p>
    <w:p w:rsidR="002E6EC2" w:rsidRPr="00E1563A" w:rsidRDefault="002E6EC2" w:rsidP="00E1563A">
      <w:pPr>
        <w:spacing w:before="60"/>
        <w:jc w:val="center"/>
        <w:rPr>
          <w:rFonts w:asciiTheme="minorHAnsi" w:hAnsiTheme="minorHAnsi" w:cs="Arial"/>
          <w:sz w:val="20"/>
        </w:rPr>
      </w:pPr>
      <w:r w:rsidRPr="00E1563A">
        <w:rPr>
          <w:rFonts w:asciiTheme="minorHAnsi" w:hAnsiTheme="minorHAnsi" w:cs="Arial"/>
          <w:sz w:val="20"/>
        </w:rPr>
        <w:lastRenderedPageBreak/>
        <w:t>Tab. 1: Postoje respondentov pred a po diskusnej hre.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33"/>
        <w:gridCol w:w="1684"/>
        <w:gridCol w:w="999"/>
        <w:gridCol w:w="1684"/>
        <w:gridCol w:w="999"/>
        <w:gridCol w:w="1684"/>
        <w:gridCol w:w="995"/>
      </w:tblGrid>
      <w:tr w:rsidR="002E6EC2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Stanovisko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dievčatá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chlapci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Spolu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pred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po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pred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po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Pred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Po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47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41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88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42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1</w:t>
            </w:r>
            <w:r w:rsidR="002E6EC2" w:rsidRPr="00E1563A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1</w:t>
            </w:r>
            <w:r w:rsidR="002E6EC2" w:rsidRPr="00E1563A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74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61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5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53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neviem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color w:val="000000"/>
              </w:rPr>
            </w:pPr>
            <w:r w:rsidRPr="00E1563A">
              <w:rPr>
                <w:rFonts w:asciiTheme="minorHAnsi" w:hAnsiTheme="minorHAnsi" w:cs="Arial"/>
                <w:color w:val="000000"/>
              </w:rPr>
              <w:t>13</w:t>
            </w:r>
          </w:p>
        </w:tc>
      </w:tr>
      <w:tr w:rsidR="002E6EC2" w:rsidRPr="00E1563A" w:rsidTr="00D25061">
        <w:trPr>
          <w:trHeight w:val="30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2E6EC2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113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113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107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107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220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C2" w:rsidRPr="00E1563A" w:rsidRDefault="004052E5" w:rsidP="00E1563A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E1563A">
              <w:rPr>
                <w:rFonts w:asciiTheme="minorHAnsi" w:hAnsiTheme="minorHAnsi" w:cs="Arial"/>
                <w:b/>
                <w:bCs/>
                <w:color w:val="000000"/>
              </w:rPr>
              <w:t>220</w:t>
            </w:r>
          </w:p>
        </w:tc>
      </w:tr>
    </w:tbl>
    <w:p w:rsidR="002E6EC2" w:rsidRPr="00E1563A" w:rsidRDefault="002E6EC2" w:rsidP="00E1563A">
      <w:pPr>
        <w:spacing w:before="60"/>
        <w:jc w:val="both"/>
        <w:rPr>
          <w:rFonts w:asciiTheme="minorHAnsi" w:hAnsiTheme="minorHAnsi" w:cs="Arial"/>
        </w:rPr>
      </w:pPr>
    </w:p>
    <w:p w:rsidR="004F4AF4" w:rsidRPr="00E1563A" w:rsidRDefault="004F4AF4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U dievčat môžeme pred hrou</w:t>
      </w:r>
      <w:r w:rsidR="00626773" w:rsidRPr="00E1563A">
        <w:rPr>
          <w:rFonts w:asciiTheme="minorHAnsi" w:hAnsiTheme="minorHAnsi" w:cs="Arial"/>
        </w:rPr>
        <w:t xml:space="preserve"> i po nej</w:t>
      </w:r>
      <w:r w:rsidRPr="00E1563A">
        <w:rPr>
          <w:rFonts w:asciiTheme="minorHAnsi" w:hAnsiTheme="minorHAnsi" w:cs="Arial"/>
        </w:rPr>
        <w:t xml:space="preserve"> pozorovať silnejšie zastúpenie postoja proti využívaniu jadrovej energii. Sú viacej naklonené k obnoviteľným zdrojom a kombinácií jadrovej energie s obnoviteľnými zdrojmi. U chlapcov má, naopak, najsilnejšie zastúpenie postoj využívania a rozvoja jadrovej energie a jadrovej fúzie ako i jej využívanie kombinácie s obnoviteľnými zdrojmi. </w:t>
      </w:r>
    </w:p>
    <w:p w:rsidR="004F4AF4" w:rsidRPr="00E1563A" w:rsidRDefault="004F4AF4" w:rsidP="00E1563A">
      <w:pPr>
        <w:spacing w:before="60"/>
        <w:jc w:val="both"/>
        <w:rPr>
          <w:rFonts w:asciiTheme="minorHAnsi" w:hAnsiTheme="minorHAnsi" w:cs="Arial"/>
        </w:rPr>
      </w:pPr>
    </w:p>
    <w:p w:rsidR="00624A4C" w:rsidRPr="00E1563A" w:rsidRDefault="002E6EC2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V diagrame sú naznačené zmeny postojov u chlapcov i dievčat (D – dievča, CH - chlapec) pred a po hre. Ľavá strana zobrazuje postoje pred hrou, pravá strana postoje po hre.</w:t>
      </w:r>
    </w:p>
    <w:p w:rsidR="00386E34" w:rsidRPr="00E1563A" w:rsidRDefault="000E31BB" w:rsidP="00E1563A">
      <w:pPr>
        <w:spacing w:before="60"/>
        <w:rPr>
          <w:rFonts w:asciiTheme="minorHAnsi" w:hAnsiTheme="minorHAnsi" w:cs="Arial"/>
        </w:rPr>
      </w:pPr>
      <w:r w:rsidRPr="00E1563A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5340350" cy="4881245"/>
            <wp:effectExtent l="19050" t="0" r="0" b="0"/>
            <wp:wrapSquare wrapText="bothSides"/>
            <wp:docPr id="158" name="Obrázo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13" t="21750" r="23813" b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488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392" w:rsidRPr="00E1563A" w:rsidRDefault="009977C5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Najväčšie zmeny sme zaznamenali </w:t>
      </w:r>
      <w:r w:rsidR="00E35392" w:rsidRPr="00E1563A">
        <w:rPr>
          <w:rFonts w:asciiTheme="minorHAnsi" w:hAnsiTheme="minorHAnsi" w:cs="Arial"/>
        </w:rPr>
        <w:t xml:space="preserve">u </w:t>
      </w:r>
      <w:r w:rsidRPr="00E1563A">
        <w:rPr>
          <w:rFonts w:asciiTheme="minorHAnsi" w:hAnsiTheme="minorHAnsi" w:cs="Arial"/>
        </w:rPr>
        <w:t>stanov</w:t>
      </w:r>
      <w:r w:rsidR="00E35392" w:rsidRPr="00E1563A">
        <w:rPr>
          <w:rFonts w:asciiTheme="minorHAnsi" w:hAnsiTheme="minorHAnsi" w:cs="Arial"/>
        </w:rPr>
        <w:t>ísk</w:t>
      </w:r>
      <w:r w:rsidRPr="00E1563A">
        <w:rPr>
          <w:rFonts w:asciiTheme="minorHAnsi" w:hAnsiTheme="minorHAnsi" w:cs="Arial"/>
        </w:rPr>
        <w:t xml:space="preserve"> </w:t>
      </w:r>
      <w:r w:rsidR="005778C5" w:rsidRPr="00E1563A">
        <w:rPr>
          <w:rFonts w:asciiTheme="minorHAnsi" w:hAnsiTheme="minorHAnsi" w:cs="Arial"/>
        </w:rPr>
        <w:t>1</w:t>
      </w:r>
      <w:r w:rsidRPr="00E1563A">
        <w:rPr>
          <w:rFonts w:asciiTheme="minorHAnsi" w:hAnsiTheme="minorHAnsi" w:cs="Arial"/>
        </w:rPr>
        <w:t xml:space="preserve"> a </w:t>
      </w:r>
      <w:r w:rsidR="005778C5" w:rsidRPr="00E1563A">
        <w:rPr>
          <w:rFonts w:asciiTheme="minorHAnsi" w:hAnsiTheme="minorHAnsi" w:cs="Arial"/>
        </w:rPr>
        <w:t>2</w:t>
      </w:r>
      <w:r w:rsidRPr="00E1563A">
        <w:rPr>
          <w:rFonts w:asciiTheme="minorHAnsi" w:hAnsiTheme="minorHAnsi" w:cs="Arial"/>
        </w:rPr>
        <w:t xml:space="preserve">. </w:t>
      </w:r>
      <w:r w:rsidR="00E35392" w:rsidRPr="00E1563A">
        <w:rPr>
          <w:rFonts w:asciiTheme="minorHAnsi" w:hAnsiTheme="minorHAnsi" w:cs="Arial"/>
        </w:rPr>
        <w:t xml:space="preserve">Pri stanovisku 1 sme zaznamenali najväčší nárast respondentov, pridalo sa 34 respondentov (15 odstúpilo). </w:t>
      </w:r>
      <w:r w:rsidRPr="00E1563A">
        <w:rPr>
          <w:rFonts w:asciiTheme="minorHAnsi" w:hAnsiTheme="minorHAnsi" w:cs="Arial"/>
        </w:rPr>
        <w:t xml:space="preserve">Zo stanoviska </w:t>
      </w:r>
      <w:r w:rsidR="005778C5" w:rsidRPr="00E1563A">
        <w:rPr>
          <w:rFonts w:asciiTheme="minorHAnsi" w:hAnsiTheme="minorHAnsi" w:cs="Arial"/>
        </w:rPr>
        <w:t xml:space="preserve">2 odstúpilo 24 </w:t>
      </w:r>
      <w:r w:rsidRPr="00E1563A">
        <w:rPr>
          <w:rFonts w:asciiTheme="minorHAnsi" w:hAnsiTheme="minorHAnsi" w:cs="Arial"/>
        </w:rPr>
        <w:lastRenderedPageBreak/>
        <w:t>žia</w:t>
      </w:r>
      <w:r w:rsidR="005778C5" w:rsidRPr="00E1563A">
        <w:rPr>
          <w:rFonts w:asciiTheme="minorHAnsi" w:hAnsiTheme="minorHAnsi" w:cs="Arial"/>
        </w:rPr>
        <w:t>kov</w:t>
      </w:r>
      <w:r w:rsidRPr="00E1563A">
        <w:rPr>
          <w:rFonts w:asciiTheme="minorHAnsi" w:hAnsiTheme="minorHAnsi" w:cs="Arial"/>
        </w:rPr>
        <w:t xml:space="preserve"> z</w:t>
      </w:r>
      <w:r w:rsidR="005778C5" w:rsidRPr="00E1563A">
        <w:rPr>
          <w:rFonts w:asciiTheme="minorHAnsi" w:hAnsiTheme="minorHAnsi" w:cs="Arial"/>
        </w:rPr>
        <w:t xml:space="preserve"> 27. </w:t>
      </w:r>
      <w:r w:rsidRPr="00E1563A">
        <w:rPr>
          <w:rFonts w:asciiTheme="minorHAnsi" w:hAnsiTheme="minorHAnsi" w:cs="Arial"/>
        </w:rPr>
        <w:t xml:space="preserve">K zmene postojov došlo </w:t>
      </w:r>
      <w:r w:rsidR="00E35392" w:rsidRPr="00E1563A">
        <w:rPr>
          <w:rFonts w:asciiTheme="minorHAnsi" w:hAnsiTheme="minorHAnsi" w:cs="Arial"/>
        </w:rPr>
        <w:t>najmä smerom z nevyužívania jadrovej energie na jej využívanie v kombinácií s obnoviteľnými zdrojmi.</w:t>
      </w:r>
    </w:p>
    <w:p w:rsidR="009977C5" w:rsidRPr="00E1563A" w:rsidRDefault="009977C5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Svoje stanovisko nezmenilo </w:t>
      </w:r>
      <w:r w:rsidR="009640E8" w:rsidRPr="00E1563A">
        <w:rPr>
          <w:rFonts w:asciiTheme="minorHAnsi" w:hAnsiTheme="minorHAnsi" w:cs="Arial"/>
        </w:rPr>
        <w:t>15</w:t>
      </w:r>
      <w:r w:rsidRPr="00E1563A">
        <w:rPr>
          <w:rFonts w:asciiTheme="minorHAnsi" w:hAnsiTheme="minorHAnsi" w:cs="Arial"/>
        </w:rPr>
        <w:t xml:space="preserve">2 respondentov, čo je presne </w:t>
      </w:r>
      <w:r w:rsidR="009640E8" w:rsidRPr="00E1563A">
        <w:rPr>
          <w:rFonts w:asciiTheme="minorHAnsi" w:hAnsiTheme="minorHAnsi" w:cs="Arial"/>
        </w:rPr>
        <w:t>69,09</w:t>
      </w:r>
      <w:r w:rsidRPr="00E1563A">
        <w:rPr>
          <w:rFonts w:asciiTheme="minorHAnsi" w:hAnsiTheme="minorHAnsi" w:cs="Arial"/>
        </w:rPr>
        <w:t xml:space="preserve">% (Tab. </w:t>
      </w:r>
      <w:r w:rsidR="009640E8" w:rsidRPr="00E1563A">
        <w:rPr>
          <w:rFonts w:asciiTheme="minorHAnsi" w:hAnsiTheme="minorHAnsi" w:cs="Arial"/>
        </w:rPr>
        <w:t>2</w:t>
      </w:r>
      <w:r w:rsidRPr="00E1563A">
        <w:rPr>
          <w:rFonts w:asciiTheme="minorHAnsi" w:hAnsiTheme="minorHAnsi" w:cs="Arial"/>
        </w:rPr>
        <w:t>).</w:t>
      </w:r>
    </w:p>
    <w:p w:rsidR="009977C5" w:rsidRPr="00E1563A" w:rsidRDefault="009977C5" w:rsidP="00E1563A">
      <w:pPr>
        <w:spacing w:before="60"/>
        <w:rPr>
          <w:rFonts w:asciiTheme="minorHAnsi" w:hAnsiTheme="minorHAnsi" w:cs="Arial"/>
        </w:rPr>
      </w:pPr>
    </w:p>
    <w:p w:rsidR="009977C5" w:rsidRPr="00E1563A" w:rsidRDefault="009977C5" w:rsidP="00E1563A">
      <w:pPr>
        <w:spacing w:before="60"/>
        <w:jc w:val="center"/>
        <w:rPr>
          <w:rFonts w:asciiTheme="minorHAnsi" w:hAnsiTheme="minorHAnsi" w:cs="Arial"/>
          <w:sz w:val="20"/>
        </w:rPr>
      </w:pPr>
      <w:r w:rsidRPr="00E1563A">
        <w:rPr>
          <w:rFonts w:asciiTheme="minorHAnsi" w:hAnsiTheme="minorHAnsi" w:cs="Arial"/>
          <w:sz w:val="20"/>
        </w:rPr>
        <w:t>Tab. 2 Počty respondentov – rovnaké stanovisko pred i po hre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33"/>
        <w:gridCol w:w="2683"/>
        <w:gridCol w:w="2683"/>
        <w:gridCol w:w="2679"/>
      </w:tblGrid>
      <w:tr w:rsidR="009977C5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Stanovisko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dievčatá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chlapci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Spolu</w:t>
            </w:r>
          </w:p>
        </w:tc>
      </w:tr>
      <w:tr w:rsidR="009977C5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24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28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52</w:t>
            </w:r>
          </w:p>
        </w:tc>
      </w:tr>
      <w:tr w:rsidR="009977C5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37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47</w:t>
            </w:r>
          </w:p>
        </w:tc>
      </w:tr>
      <w:tr w:rsidR="009977C5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4</w:t>
            </w:r>
          </w:p>
        </w:tc>
      </w:tr>
      <w:tr w:rsidR="009977C5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32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43</w:t>
            </w:r>
          </w:p>
        </w:tc>
      </w:tr>
      <w:tr w:rsidR="009977C5" w:rsidRPr="00E1563A" w:rsidTr="00D25061">
        <w:trPr>
          <w:trHeight w:val="300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neviem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E1563A">
              <w:rPr>
                <w:rFonts w:asciiTheme="minorHAnsi" w:hAnsiTheme="minorHAnsi" w:cs="Arial"/>
              </w:rPr>
              <w:t>6</w:t>
            </w:r>
          </w:p>
        </w:tc>
      </w:tr>
      <w:tr w:rsidR="009977C5" w:rsidRPr="00E1563A" w:rsidTr="00D25061">
        <w:trPr>
          <w:trHeight w:val="300"/>
        </w:trPr>
        <w:tc>
          <w:tcPr>
            <w:tcW w:w="3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Spolu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7C5" w:rsidRPr="00E1563A" w:rsidRDefault="009977C5" w:rsidP="00E1563A">
            <w:pPr>
              <w:spacing w:before="60"/>
              <w:jc w:val="center"/>
              <w:rPr>
                <w:rFonts w:asciiTheme="minorHAnsi" w:hAnsiTheme="minorHAnsi" w:cs="Arial"/>
                <w:b/>
              </w:rPr>
            </w:pPr>
            <w:r w:rsidRPr="00E1563A">
              <w:rPr>
                <w:rFonts w:asciiTheme="minorHAnsi" w:hAnsiTheme="minorHAnsi" w:cs="Arial"/>
                <w:b/>
              </w:rPr>
              <w:t>152</w:t>
            </w:r>
          </w:p>
        </w:tc>
      </w:tr>
    </w:tbl>
    <w:p w:rsidR="00E1563A" w:rsidRDefault="00E1563A" w:rsidP="00E1563A">
      <w:pPr>
        <w:spacing w:before="60"/>
        <w:jc w:val="both"/>
        <w:rPr>
          <w:rFonts w:asciiTheme="minorHAnsi" w:hAnsiTheme="minorHAnsi" w:cs="Arial"/>
          <w:b/>
        </w:rPr>
      </w:pPr>
    </w:p>
    <w:p w:rsidR="00D25061" w:rsidRPr="00E1563A" w:rsidRDefault="00D25061" w:rsidP="00E1563A">
      <w:pPr>
        <w:spacing w:before="6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Záver</w:t>
      </w:r>
    </w:p>
    <w:p w:rsidR="009C74D8" w:rsidRPr="00E1563A" w:rsidRDefault="009C74D8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Ukázalo sa, že žiacke postoje k stanoviskám hry Energia pre budúcnosť, sa menia. Takmer u 1/3 respondentov, ktorí absolvovali hru</w:t>
      </w:r>
      <w:r w:rsidR="00924B2B" w:rsidRPr="00E1563A">
        <w:rPr>
          <w:rFonts w:asciiTheme="minorHAnsi" w:hAnsiTheme="minorHAnsi" w:cs="Arial"/>
        </w:rPr>
        <w:t>, zmenila</w:t>
      </w:r>
      <w:r w:rsidRPr="00E1563A">
        <w:rPr>
          <w:rFonts w:asciiTheme="minorHAnsi" w:hAnsiTheme="minorHAnsi" w:cs="Arial"/>
        </w:rPr>
        <w:t xml:space="preserve"> po hre svoj názor. Možno teda predpokladať, že informácie </w:t>
      </w:r>
      <w:r w:rsidR="00924B2B" w:rsidRPr="00E1563A">
        <w:rPr>
          <w:rFonts w:asciiTheme="minorHAnsi" w:hAnsiTheme="minorHAnsi" w:cs="Arial"/>
        </w:rPr>
        <w:t>získavané počas hry</w:t>
      </w:r>
      <w:r w:rsidRPr="00E1563A">
        <w:rPr>
          <w:rFonts w:asciiTheme="minorHAnsi" w:hAnsiTheme="minorHAnsi" w:cs="Arial"/>
        </w:rPr>
        <w:t xml:space="preserve"> ako i samotná diskusia formujú názory žiakov na diskutovanú tému.</w:t>
      </w:r>
    </w:p>
    <w:p w:rsidR="009C74D8" w:rsidRPr="00E1563A" w:rsidRDefault="009C74D8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Žiaci sú za vhodnú kombináciu jadrovej energie a obnoviteľných zdrojov, ako i za investovanie financií do výskumu a vývoja jadrovej energie a termojadrovej fúzie. Otázkou zostáva, či by sa ich postoje zmenili po súčasných udalostiach v Japonsku.</w:t>
      </w:r>
    </w:p>
    <w:p w:rsidR="009C74D8" w:rsidRPr="00E1563A" w:rsidRDefault="009C74D8" w:rsidP="00E1563A">
      <w:pPr>
        <w:spacing w:before="60"/>
        <w:jc w:val="both"/>
        <w:rPr>
          <w:rFonts w:asciiTheme="minorHAnsi" w:hAnsiTheme="minorHAnsi" w:cs="Arial"/>
        </w:rPr>
      </w:pPr>
    </w:p>
    <w:p w:rsidR="00D25061" w:rsidRPr="00E1563A" w:rsidRDefault="00D25061" w:rsidP="00E1563A">
      <w:pPr>
        <w:spacing w:before="6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Poďakovanie</w:t>
      </w:r>
    </w:p>
    <w:p w:rsidR="00E13E5B" w:rsidRPr="00E1563A" w:rsidRDefault="00BF1A02" w:rsidP="00E1563A">
      <w:pPr>
        <w:spacing w:before="6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Táto práca bola podporovaná Agentúrou na podporu výskumu a vývoja na základe zmluvy  č. LPP-0395-09 a Centrom vedecko-technických informácií SR Národným centrom pre popularizáciu vedy a techniky v spoločnosti.</w:t>
      </w:r>
    </w:p>
    <w:p w:rsidR="00BF1A02" w:rsidRPr="00E1563A" w:rsidRDefault="00BF1A02" w:rsidP="00E1563A">
      <w:pPr>
        <w:spacing w:before="60"/>
        <w:jc w:val="both"/>
        <w:rPr>
          <w:rFonts w:asciiTheme="minorHAnsi" w:hAnsiTheme="minorHAnsi" w:cs="Arial"/>
        </w:rPr>
      </w:pPr>
    </w:p>
    <w:p w:rsidR="00D25061" w:rsidRPr="00E1563A" w:rsidRDefault="00D25061" w:rsidP="00E1563A">
      <w:pPr>
        <w:spacing w:before="6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Literatúra</w:t>
      </w:r>
    </w:p>
    <w:p w:rsidR="00AB6D69" w:rsidRPr="00E1563A" w:rsidRDefault="00AB6D69" w:rsidP="00E1563A">
      <w:pPr>
        <w:pStyle w:val="Normlnywebov"/>
        <w:numPr>
          <w:ilvl w:val="0"/>
          <w:numId w:val="10"/>
        </w:numPr>
        <w:spacing w:before="60" w:beforeAutospacing="0" w:after="0" w:afterAutospacing="0"/>
        <w:ind w:left="284" w:hanging="284"/>
        <w:jc w:val="both"/>
        <w:textAlignment w:val="baseline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FUND MANUAL Version 4.2. 2009. Dostupné po registrovaní užívateľa na </w:t>
      </w:r>
      <w:hyperlink r:id="rId9" w:history="1">
        <w:r w:rsidRPr="00E1563A">
          <w:rPr>
            <w:rFonts w:asciiTheme="minorHAnsi" w:hAnsiTheme="minorHAnsi" w:cs="Arial"/>
          </w:rPr>
          <w:t>www.playdecide.eu</w:t>
        </w:r>
      </w:hyperlink>
    </w:p>
    <w:p w:rsidR="00D25061" w:rsidRPr="00E1563A" w:rsidRDefault="00D2506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</w:p>
    <w:p w:rsidR="00D25061" w:rsidRPr="00E1563A" w:rsidRDefault="00D2506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  <w:r w:rsidRPr="00E1563A">
        <w:rPr>
          <w:rFonts w:asciiTheme="minorHAnsi" w:hAnsiTheme="minorHAnsi" w:cs="Arial"/>
          <w:b/>
        </w:rPr>
        <w:t>Adresa autora</w:t>
      </w:r>
    </w:p>
    <w:p w:rsidR="00D25061" w:rsidRPr="00E1563A" w:rsidRDefault="00260FA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Mgr. Jana Horváthová</w:t>
      </w:r>
    </w:p>
    <w:p w:rsidR="00260FA1" w:rsidRPr="00E1563A" w:rsidRDefault="00260FA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Fakulta matematiky, fyziky a informatiky Univerzity Komenského</w:t>
      </w:r>
    </w:p>
    <w:p w:rsidR="00260FA1" w:rsidRPr="00E1563A" w:rsidRDefault="00260FA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Katedra teoretickej fyziky a didaktiky fyziky</w:t>
      </w:r>
    </w:p>
    <w:p w:rsidR="00D25061" w:rsidRPr="00E1563A" w:rsidRDefault="00260FA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 xml:space="preserve">Mlynská dolina </w:t>
      </w:r>
    </w:p>
    <w:p w:rsidR="00260FA1" w:rsidRPr="00E1563A" w:rsidRDefault="00260FA1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E1563A">
        <w:rPr>
          <w:rFonts w:asciiTheme="minorHAnsi" w:hAnsiTheme="minorHAnsi" w:cs="Arial"/>
        </w:rPr>
        <w:t>842 48 Bratislava</w:t>
      </w:r>
    </w:p>
    <w:p w:rsidR="00D25061" w:rsidRPr="00E1563A" w:rsidRDefault="00E1563A" w:rsidP="00E1563A">
      <w:pPr>
        <w:tabs>
          <w:tab w:val="left" w:pos="480"/>
        </w:tabs>
        <w:spacing w:before="60"/>
        <w:ind w:left="48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e-mail: </w:t>
      </w:r>
      <w:proofErr w:type="spellStart"/>
      <w:r w:rsidR="00260FA1" w:rsidRPr="00E1563A">
        <w:rPr>
          <w:rFonts w:asciiTheme="minorHAnsi" w:hAnsiTheme="minorHAnsi" w:cs="Arial"/>
        </w:rPr>
        <w:t>horvathova.jana</w:t>
      </w:r>
      <w:proofErr w:type="spellEnd"/>
      <w:r w:rsidR="00260FA1" w:rsidRPr="00E1563A">
        <w:rPr>
          <w:rFonts w:asciiTheme="minorHAnsi" w:hAnsiTheme="minorHAnsi" w:cs="Arial"/>
          <w:lang w:val="en-US"/>
        </w:rPr>
        <w:t>@</w:t>
      </w:r>
      <w:r w:rsidR="00260FA1" w:rsidRPr="00E1563A">
        <w:rPr>
          <w:rFonts w:asciiTheme="minorHAnsi" w:hAnsiTheme="minorHAnsi" w:cs="Arial"/>
        </w:rPr>
        <w:t>gmail.com</w:t>
      </w:r>
    </w:p>
    <w:sectPr w:rsidR="00D25061" w:rsidRPr="00E1563A" w:rsidSect="00A92936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pgNumType w:fmt="numberInDash"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BB" w:rsidRDefault="002466BB" w:rsidP="004F4AF4">
      <w:r>
        <w:separator/>
      </w:r>
    </w:p>
  </w:endnote>
  <w:endnote w:type="continuationSeparator" w:id="0">
    <w:p w:rsidR="002466BB" w:rsidRDefault="002466BB" w:rsidP="004F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36" w:rsidRPr="008F1A5C" w:rsidRDefault="00A92936" w:rsidP="00A92936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- 113 -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BB" w:rsidRDefault="002466BB" w:rsidP="004F4AF4">
      <w:r>
        <w:separator/>
      </w:r>
    </w:p>
  </w:footnote>
  <w:footnote w:type="continuationSeparator" w:id="0">
    <w:p w:rsidR="002466BB" w:rsidRDefault="002466BB" w:rsidP="004F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36" w:rsidRPr="00B03B2F" w:rsidRDefault="00A92936" w:rsidP="00A92936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A52"/>
    <w:multiLevelType w:val="hybridMultilevel"/>
    <w:tmpl w:val="F98C2E7C"/>
    <w:lvl w:ilvl="0" w:tplc="C45ED316">
      <w:start w:val="1"/>
      <w:numFmt w:val="decimal"/>
      <w:lvlText w:val="%1."/>
      <w:lvlJc w:val="left"/>
      <w:pPr>
        <w:tabs>
          <w:tab w:val="num" w:pos="814"/>
        </w:tabs>
        <w:ind w:left="1021" w:hanging="661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F3DA1"/>
    <w:multiLevelType w:val="hybridMultilevel"/>
    <w:tmpl w:val="34E6CC5A"/>
    <w:lvl w:ilvl="0" w:tplc="5F467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6559"/>
    <w:multiLevelType w:val="hybridMultilevel"/>
    <w:tmpl w:val="13203522"/>
    <w:lvl w:ilvl="0" w:tplc="5F467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3848"/>
    <w:multiLevelType w:val="hybridMultilevel"/>
    <w:tmpl w:val="D1041D96"/>
    <w:lvl w:ilvl="0" w:tplc="5F467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1F8D"/>
    <w:multiLevelType w:val="hybridMultilevel"/>
    <w:tmpl w:val="59905BA0"/>
    <w:lvl w:ilvl="0" w:tplc="5F467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42CE"/>
    <w:multiLevelType w:val="hybridMultilevel"/>
    <w:tmpl w:val="3E3AA57E"/>
    <w:lvl w:ilvl="0" w:tplc="5F467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C4AF0"/>
    <w:multiLevelType w:val="hybridMultilevel"/>
    <w:tmpl w:val="ABD0E326"/>
    <w:lvl w:ilvl="0" w:tplc="F73E8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34674"/>
    <w:multiLevelType w:val="hybridMultilevel"/>
    <w:tmpl w:val="08D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519A"/>
    <w:multiLevelType w:val="hybridMultilevel"/>
    <w:tmpl w:val="A51C9538"/>
    <w:lvl w:ilvl="0" w:tplc="5F46779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F608D"/>
    <w:multiLevelType w:val="hybridMultilevel"/>
    <w:tmpl w:val="7C125F4E"/>
    <w:lvl w:ilvl="0" w:tplc="5F4677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CCD"/>
    <w:rsid w:val="000E31BB"/>
    <w:rsid w:val="002466BB"/>
    <w:rsid w:val="00260FA1"/>
    <w:rsid w:val="002717BE"/>
    <w:rsid w:val="002B6299"/>
    <w:rsid w:val="002E6EC2"/>
    <w:rsid w:val="00375253"/>
    <w:rsid w:val="00386E34"/>
    <w:rsid w:val="004052E5"/>
    <w:rsid w:val="004F4AF4"/>
    <w:rsid w:val="005778C5"/>
    <w:rsid w:val="005D69AB"/>
    <w:rsid w:val="005E364A"/>
    <w:rsid w:val="005F21D0"/>
    <w:rsid w:val="0061106F"/>
    <w:rsid w:val="00624A4C"/>
    <w:rsid w:val="00626773"/>
    <w:rsid w:val="006E0209"/>
    <w:rsid w:val="007C2924"/>
    <w:rsid w:val="008C1FA5"/>
    <w:rsid w:val="00924B2B"/>
    <w:rsid w:val="00945CCD"/>
    <w:rsid w:val="009640E8"/>
    <w:rsid w:val="009977C5"/>
    <w:rsid w:val="009B2A49"/>
    <w:rsid w:val="009C74D8"/>
    <w:rsid w:val="00A92936"/>
    <w:rsid w:val="00AB6D69"/>
    <w:rsid w:val="00AE0051"/>
    <w:rsid w:val="00B119E4"/>
    <w:rsid w:val="00BC7850"/>
    <w:rsid w:val="00BF1A02"/>
    <w:rsid w:val="00C703FD"/>
    <w:rsid w:val="00D013D3"/>
    <w:rsid w:val="00D25061"/>
    <w:rsid w:val="00E04FED"/>
    <w:rsid w:val="00E13E5B"/>
    <w:rsid w:val="00E14490"/>
    <w:rsid w:val="00E1563A"/>
    <w:rsid w:val="00E35392"/>
    <w:rsid w:val="00E83376"/>
    <w:rsid w:val="00E976AE"/>
    <w:rsid w:val="00F17BBD"/>
    <w:rsid w:val="00FC5142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4AF4"/>
    <w:pPr>
      <w:tabs>
        <w:tab w:val="center" w:pos="4703"/>
        <w:tab w:val="right" w:pos="9406"/>
      </w:tabs>
    </w:p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4F4AF4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4F4AF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4F4AF4"/>
    <w:rPr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rsid w:val="00AB6D69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5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ydecide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RUKOPISU PRÍSPEVKU DO DIDAKTICKÉHO ČASOPISU MIF</vt:lpstr>
    </vt:vector>
  </TitlesOfParts>
  <Company>PF UPJŠ Košice</Company>
  <LinksUpToDate>false</LinksUpToDate>
  <CharactersWithSpaces>6910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http://www.playdecide.eu/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6</cp:revision>
  <dcterms:created xsi:type="dcterms:W3CDTF">2011-10-02T21:38:00Z</dcterms:created>
  <dcterms:modified xsi:type="dcterms:W3CDTF">2011-10-02T21:41:00Z</dcterms:modified>
</cp:coreProperties>
</file>